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Implementing a "living curriculum" requires schools to move away from static, multi-year review cycles and toward a dynamic system that treats educational content as a continuously evolving entity. This transition requires integrating real-time feedback loops, adopting new pedagogical frameworks, and leveraging technology to bridge the gap between the classroom and the fast-moving outside world.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Integrating Real-Time Feedback Loops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Traditional curricula are often structurally outdated before a student even finishes them because the "half-life" of many skills is shrinking. To counter this, schools must establish active channels for curriculum renewal: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Labor Market and Societal Alignment: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Schools should use frameworks like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Quintuple Helix model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facilitate ongoing dialogue between academia, industry, government, civil society, and environmental stakeholders.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Dynamic Updating: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Instead of waiting years for committee approvals, curricula should ideally be updated at much higher frequencies based on emerging research, new digital tools, and shifting industry demands.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Performance Analytics: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Schools can use AI and learning analytics to identify which concepts cause systematic student confusion or which course sequences lead to the best long-term professional outcomes, allowing for immediate targeted adjustments.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Adopting Challenge-Based Learning (CBL)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living curriculum shifts the focus from "knowledge transmission"—which AI can handle more efficiently—to "capability building" through authentic problem-solving.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Societal "Challenges":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Programs like those in European university alliances (e.g., ECIU) structure education around real-world problems co-designed with municipalities, NGOs, or companies.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Interdisciplinary Teams: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work in teams to define and investigate these challenges, applying domain-specific knowledge to produce actionable deliverables like prototypes or advisory reports.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Faculty as Coaches: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this model, educators stop being "broadcasters of information" and start acting as mentors and designers of learning experiences.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Transitioning to Competency-Based Education (CBE)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"living" aspect of a curriculum also applies to the student's pace. Schools must move away from "batch processing" students in herds and toward personalized mastery tracks.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 as a Variable: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CBE, learning is the constant and time is the variable. Students progress as soon as they demonstrate mastery, rather than waiting for the end of a semester.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Modular and Stackable Design: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Curricula should be unbundled into micro-credentials that can stand alone or be "stacked" toward a full degree, allowing students to "level up" in real-time as they acquire specific skills.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Critical AI Literacy as a Foundation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curriculum cannot be "living" if it ignores the tools students use to learn. Schools must integrate critical AI literacy into the core of their instructional design.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AI-Resistant Assessment: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Assignments must be redesigned to focus on process, collaboration, and context-specific reasoning rather than just the final output, which AI can easily generate.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Critical Engagement: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Students must be taught to question AI confident "hallucinations," understand algorithmic bias, and recognize the limits of datafication.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Institutional Obstacles and Success Factors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Implementing a living curriculum is more an organizational challenge than a technical one, as universities are traditionally designed for stability, not speed.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Governance Reform: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Schools need governance mechanisms that can navigate rapid technological adoption while preserving the deliberative processes that protect academic freedom.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Innovation Labs: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Institutions can follow the example of ECIU by establishing "Innovation of Education Labs"—physical and virtual spaces where faculty can experiment with new tools and challenge-based pedagogies without immediate high-stakes pressure.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to explore how schools can manage the "governance trap" that often prevents these rapid curriculum updates?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